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D6" w:rsidRPr="00DD6B76" w:rsidRDefault="008916D6" w:rsidP="008916D6">
      <w:pPr>
        <w:spacing w:before="100" w:beforeAutospacing="1" w:after="200" w:line="276" w:lineRule="auto"/>
        <w:jc w:val="center"/>
        <w:rPr>
          <w:rFonts w:ascii="Palatino Linotype" w:eastAsia="Times New Roman" w:hAnsi="Palatino Linotype" w:cs="Calibri"/>
          <w:b/>
          <w:bCs/>
        </w:rPr>
      </w:pPr>
      <w:r w:rsidRPr="00DD6B76">
        <w:rPr>
          <w:rFonts w:ascii="Palatino Linotype" w:eastAsia="Times New Roman" w:hAnsi="Palatino Linotype" w:cs="Calibri"/>
          <w:b/>
          <w:bCs/>
        </w:rPr>
        <w:t>Projekt „Różne potrzeby, równe standardy”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</w:rPr>
        <w:t>Projekt „Różne potrzeby, równe standardy” realizowanego jest przez Szefa Służby Cywilnej ze</w:t>
      </w:r>
      <w:r w:rsidRPr="00DD6B76">
        <w:rPr>
          <w:rFonts w:ascii="Palatino Linotype" w:eastAsia="Times New Roman" w:hAnsi="Palatino Linotype" w:cs="Calibri"/>
          <w:b/>
          <w:bCs/>
        </w:rPr>
        <w:t xml:space="preserve"> </w:t>
      </w:r>
      <w:r w:rsidRPr="00DD6B76">
        <w:rPr>
          <w:rFonts w:ascii="Palatino Linotype" w:eastAsia="Times New Roman" w:hAnsi="Palatino Linotype" w:cs="Calibri"/>
        </w:rPr>
        <w:t xml:space="preserve">środków Funduszu Współpracy Dwustronnej na poziomie krajowym na 2017 r. w ramach Mechanizmu Finansowego Europejskiego Obszaru Gospodarczego i Norweskiego Mechanizmu Finansowego na lata 2009-2014. 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</w:rPr>
        <w:t>Jednym z celów projektu jest podnoszenie świadomości pracowników administracji publicznej w zakresie potrzeb osób z niepełnosprawnościami.</w:t>
      </w:r>
      <w:r w:rsidRPr="00DD6B76">
        <w:rPr>
          <w:rFonts w:ascii="Palatino Linotype" w:eastAsia="Times New Roman" w:hAnsi="Palatino Linotype" w:cs="Calibri"/>
          <w:b/>
          <w:bCs/>
        </w:rPr>
        <w:t xml:space="preserve"> </w:t>
      </w:r>
      <w:r w:rsidRPr="00DD6B76">
        <w:rPr>
          <w:rFonts w:ascii="Palatino Linotype" w:eastAsia="Times New Roman" w:hAnsi="Palatino Linotype" w:cs="Calibri"/>
        </w:rPr>
        <w:t xml:space="preserve">Długofalowym celem projekt jest przystosowanie polskich urzędów do właściwej obsługi osób z różnego typu niepełnosprawnością poprzez wprowadzanie rozwiązań uwzględniających ich potrzeby w oparciu o doświadczenia polskie i norweskie. 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  <w:lang w:eastAsia="pl-PL"/>
        </w:rPr>
        <w:t xml:space="preserve">W Polsce mieszka około 5 mln osób z różnymi rodzajami niepełnosprawności. Pomimo pozytywnych zmian jakie zaszły w ostatnich latach, osoby te wciąż napotykają bariery w dostępie do dóbr i usług, które uniemożliwiają im pełne uczestnictwo w życiu społecznym, politycznym, gospodarczym i kulturalnym, na tych samych zasadach jak osobom w pełni sprawnym. 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  <w:lang w:eastAsia="pl-PL"/>
        </w:rPr>
        <w:t xml:space="preserve">We wrześniu 2012 roku Polska ratyfikowała </w:t>
      </w:r>
      <w:r w:rsidRPr="00DD6B76">
        <w:rPr>
          <w:rFonts w:ascii="Palatino Linotype" w:eastAsia="Times New Roman" w:hAnsi="Palatino Linotype" w:cs="Calibri"/>
          <w:i/>
          <w:iCs/>
          <w:lang w:eastAsia="pl-PL"/>
        </w:rPr>
        <w:t>Konwencję ONZ o prawach osób niepełnosprawnych</w:t>
      </w:r>
      <w:r w:rsidRPr="00DD6B76">
        <w:rPr>
          <w:rFonts w:ascii="Palatino Linotype" w:eastAsia="Times New Roman" w:hAnsi="Palatino Linotype" w:cs="Calibri"/>
          <w:lang w:eastAsia="pl-PL"/>
        </w:rPr>
        <w:t xml:space="preserve">. Głównym celem Konwencji jest zapewnienie możliwości równego korzystania z praw człowieka przez osoby z niepełnosprawnościami oraz zagwarantowanie ich pełnego udziału w życiu społecznym. Konwencja wprowadziła nowe podejście w myśleniu o niepełnosprawności. Do tej pory dominował model medyczny – skupiony na rehabilitacji, terapii i diagnozie. W rozumieniu Konwencji niepełnosprawność wynika z interakcji pomiędzy osobami z dysfunkcjami a </w:t>
      </w:r>
      <w:bookmarkStart w:id="0" w:name="_GoBack"/>
      <w:bookmarkEnd w:id="0"/>
      <w:r w:rsidRPr="00DD6B76">
        <w:rPr>
          <w:rFonts w:ascii="Palatino Linotype" w:eastAsia="Times New Roman" w:hAnsi="Palatino Linotype" w:cs="Calibri"/>
          <w:lang w:eastAsia="pl-PL"/>
        </w:rPr>
        <w:t>barierami wynikającymi z postaw ludzkich czy też sposobu zaprojektowania otoczenia. Polska została zobowiązana do wdrożenia zawartych w Konwencji standardów postępowania, w tym do poprawy dostępu do dóbr i usług publicznych dla osób z niepełnosprawnościami. Jednym z takich zadań jest pełne uwzględnienie ich potrzeb w standardach obsługi klienta w urzędach.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  <w:lang w:eastAsia="pl-PL"/>
        </w:rPr>
        <w:t>Osoby z niepełnosprawnościami wciąż są postrzegane przez pryzmat swojej obniżonej sprawności, nie zaś barier, które napotykają na drodze do swobodnego funkcjonowania w społeczeństwie. Wynika to nie tylko z faktu niedostosowania przestrzeni publicznej, w tym urzędów do ich potrzeb, ale często również z niewystarczającej wiedzy oraz świadomości społeczeństwa, a w tym przypadku urzędników. Przykładowo, koncepcja uniwersalnego projektowania (projektowanie przestrzeni, produktów oraz usług w taki sposób, by były dostępne dla wszystkich, bez potrzeby adaptacji lub specjalistycznego projektowania) nie jest powszechnie stosowana. Niska jest również świadomość społeczna nt. różnych rodzajów niepełnosprawności.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  <w:lang w:eastAsia="pl-PL"/>
        </w:rPr>
        <w:t xml:space="preserve">Norwegia jest krajem, który często wymieniany jest jako wzór zapewnienia równego dostępu do usług publicznych. Ma też długoletnie i bogate doświadczenia w realizowaniu polityki dostępności. Dlatego też chcemy wykorzystać wiedzę i doświadczenia norweskie, aby podnieść świadomość społeczną i uwrażliwić urzędników na kwestie związane z dostępnością, co będzie miało wpływ na poprawę jakości usług publicznych świadczonych przez administrację. </w:t>
      </w:r>
    </w:p>
    <w:p w:rsidR="008916D6" w:rsidRPr="00DD6B76" w:rsidRDefault="008916D6" w:rsidP="00DD6B76">
      <w:pPr>
        <w:spacing w:after="0" w:line="240" w:lineRule="auto"/>
        <w:ind w:firstLine="709"/>
        <w:jc w:val="both"/>
        <w:rPr>
          <w:rFonts w:ascii="Palatino Linotype" w:eastAsia="Times New Roman" w:hAnsi="Palatino Linotype" w:cs="Times New Roman"/>
          <w:lang w:eastAsia="pl-PL"/>
        </w:rPr>
      </w:pPr>
      <w:r w:rsidRPr="00DD6B76">
        <w:rPr>
          <w:rFonts w:ascii="Palatino Linotype" w:eastAsia="Times New Roman" w:hAnsi="Palatino Linotype" w:cs="Calibri"/>
          <w:lang w:eastAsia="pl-PL"/>
        </w:rPr>
        <w:t>Norweskie i polskie dobre praktyki zostaną zaprezentowane podczas ogólnopolskiej konferencji (odbyła się w dniu 28.IX w Warszawie) i seminariów lokalnych (Poznań, Gorzów Wlkp. Olsztyn), w których wezmą udział eksperci z Norwegii.</w:t>
      </w:r>
    </w:p>
    <w:p w:rsidR="00BF4219" w:rsidRPr="00DD6B76" w:rsidRDefault="00BF4219" w:rsidP="00DD6B76">
      <w:pPr>
        <w:spacing w:after="0" w:line="240" w:lineRule="auto"/>
        <w:ind w:firstLine="709"/>
        <w:rPr>
          <w:rFonts w:ascii="Palatino Linotype" w:hAnsi="Palatino Linotype"/>
        </w:rPr>
      </w:pPr>
    </w:p>
    <w:sectPr w:rsidR="00BF4219" w:rsidRPr="00DD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64"/>
    <w:rsid w:val="008916D6"/>
    <w:rsid w:val="009C4664"/>
    <w:rsid w:val="00BF4219"/>
    <w:rsid w:val="00DD6B76"/>
    <w:rsid w:val="00E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CD34-3DFC-4EF3-AAC8-6C856A56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Szklarczyk</dc:creator>
  <cp:keywords/>
  <dc:description/>
  <cp:lastModifiedBy>Kamila Wróblewska</cp:lastModifiedBy>
  <cp:revision>3</cp:revision>
  <dcterms:created xsi:type="dcterms:W3CDTF">2017-11-07T13:08:00Z</dcterms:created>
  <dcterms:modified xsi:type="dcterms:W3CDTF">2017-11-08T06:26:00Z</dcterms:modified>
</cp:coreProperties>
</file>